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7488B" w14:textId="76740D14" w:rsidR="00584558" w:rsidRDefault="00584558" w:rsidP="00584558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26772C" w:rsidRPr="0026772C">
        <w:rPr>
          <w:rFonts w:eastAsia="宋体" w:cs="Arial"/>
          <w:b/>
          <w:noProof/>
          <w:sz w:val="24"/>
          <w:szCs w:val="24"/>
          <w:lang w:eastAsia="zh-CN"/>
        </w:rPr>
        <w:t>R4-2015594</w:t>
      </w:r>
      <w:bookmarkStart w:id="0" w:name="_GoBack"/>
      <w:bookmarkEnd w:id="0"/>
    </w:p>
    <w:p w14:paraId="04D6D4EA" w14:textId="77777777" w:rsidR="00584558" w:rsidRDefault="00584558" w:rsidP="00584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14:paraId="5AEF884E" w14:textId="77777777" w:rsidR="009163A1" w:rsidRPr="00584558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324CF4F3" w14:textId="7FEDF362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928B0" w:rsidRPr="005928B0">
        <w:rPr>
          <w:rFonts w:ascii="Arial" w:hAnsi="Arial"/>
          <w:sz w:val="24"/>
          <w:lang w:val="en-US" w:eastAsia="zh-CN"/>
        </w:rPr>
        <w:t>Discussion on Multi-RAT Dual-Connectivity and Carrier Aggregation enhancements demodulation performance requirements</w:t>
      </w:r>
    </w:p>
    <w:p w14:paraId="4D5DD53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23CA392A" w14:textId="054918AC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 w:rsidR="00150EA3">
        <w:rPr>
          <w:rFonts w:ascii="Arial" w:hAnsi="Arial"/>
          <w:sz w:val="24"/>
          <w:lang w:val="pt-BR"/>
        </w:rPr>
        <w:tab/>
      </w:r>
      <w:r w:rsidR="005928B0">
        <w:rPr>
          <w:rFonts w:ascii="Arial" w:hAnsi="Arial"/>
          <w:sz w:val="24"/>
          <w:lang w:val="pt-BR"/>
        </w:rPr>
        <w:t>7.</w:t>
      </w:r>
      <w:r w:rsidR="00203AFB">
        <w:rPr>
          <w:rFonts w:ascii="Arial" w:hAnsi="Arial"/>
          <w:sz w:val="24"/>
          <w:lang w:val="pt-BR"/>
        </w:rPr>
        <w:t>5.</w:t>
      </w:r>
      <w:r w:rsidR="005928B0">
        <w:rPr>
          <w:rFonts w:ascii="Arial" w:hAnsi="Arial"/>
          <w:sz w:val="24"/>
          <w:lang w:val="pt-BR"/>
        </w:rPr>
        <w:t>4</w:t>
      </w:r>
    </w:p>
    <w:p w14:paraId="1FFFB5FC" w14:textId="77777777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2FF54117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6ECEE033" w14:textId="7D3D1F3E" w:rsidR="009163A1" w:rsidRDefault="00FB300C" w:rsidP="009163A1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status report [1], demodulation performance for Multi-RAT Dual-Connectivity and Carrier Aggregation enhancements is started for discussion in this meeting. In </w:t>
      </w:r>
      <w:r w:rsidR="009163A1" w:rsidRPr="00AD59AA">
        <w:rPr>
          <w:lang w:val="en-US" w:eastAsia="zh-CN"/>
        </w:rPr>
        <w:t xml:space="preserve">this contribution, we share our views about </w:t>
      </w:r>
      <w:r>
        <w:rPr>
          <w:lang w:eastAsia="zh-CN"/>
        </w:rPr>
        <w:t>Multi-RAT Dual-Connectivity and Carrier Aggregation enhancements</w:t>
      </w:r>
      <w:r w:rsidR="009C60DE">
        <w:rPr>
          <w:lang w:val="en-US" w:eastAsia="zh-CN"/>
        </w:rPr>
        <w:t xml:space="preserve"> </w:t>
      </w:r>
      <w:r>
        <w:rPr>
          <w:lang w:val="en-US" w:eastAsia="zh-CN"/>
        </w:rPr>
        <w:t xml:space="preserve">demodulation </w:t>
      </w:r>
      <w:r w:rsidR="009C60DE">
        <w:rPr>
          <w:lang w:val="en-US" w:eastAsia="zh-CN"/>
        </w:rPr>
        <w:t>performance requirements</w:t>
      </w:r>
      <w:r w:rsidR="009163A1" w:rsidRPr="00AD59AA">
        <w:rPr>
          <w:lang w:val="en-US" w:eastAsia="zh-CN"/>
        </w:rPr>
        <w:t>.</w:t>
      </w:r>
    </w:p>
    <w:p w14:paraId="117C045C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762E736" w14:textId="33AA1A0C" w:rsidR="00FB300C" w:rsidRDefault="005C6883" w:rsidP="00FB300C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="006C549C">
        <w:rPr>
          <w:lang w:eastAsia="zh-CN"/>
        </w:rPr>
        <w:t>Multi-RAT Dual-Connectivity and Carrier Aggregation</w:t>
      </w:r>
      <w:r w:rsidR="006C549C">
        <w:rPr>
          <w:lang w:val="en-US" w:eastAsia="zh-CN"/>
        </w:rPr>
        <w:t xml:space="preserve"> </w:t>
      </w:r>
      <w:r>
        <w:rPr>
          <w:lang w:val="en-US" w:eastAsia="zh-CN"/>
        </w:rPr>
        <w:t xml:space="preserve">enhancement, RAN1 </w:t>
      </w:r>
      <w:r w:rsidR="006C549C">
        <w:rPr>
          <w:lang w:val="en-US" w:eastAsia="zh-CN"/>
        </w:rPr>
        <w:t>p</w:t>
      </w:r>
      <w:r w:rsidR="006C549C" w:rsidRPr="006C549C">
        <w:rPr>
          <w:lang w:val="en-US" w:eastAsia="zh-CN"/>
        </w:rPr>
        <w:t>hysical layer design</w:t>
      </w:r>
      <w:r w:rsidR="006C549C">
        <w:rPr>
          <w:lang w:val="en-US" w:eastAsia="zh-CN"/>
        </w:rPr>
        <w:t xml:space="preserve"> and corresponding </w:t>
      </w:r>
      <w:r w:rsidR="006C549C" w:rsidRPr="006C549C">
        <w:rPr>
          <w:lang w:val="en-US" w:eastAsia="zh-CN"/>
        </w:rPr>
        <w:t xml:space="preserve">analytics </w:t>
      </w:r>
      <w:r w:rsidR="006C549C">
        <w:rPr>
          <w:lang w:val="en-US" w:eastAsia="zh-CN"/>
        </w:rPr>
        <w:t xml:space="preserve">of the </w:t>
      </w:r>
      <w:r w:rsidR="006C549C" w:rsidRPr="006C549C">
        <w:rPr>
          <w:lang w:val="en-US" w:eastAsia="zh-CN"/>
        </w:rPr>
        <w:t xml:space="preserve">impact on demodulation performance </w:t>
      </w:r>
      <w:r w:rsidR="006C549C">
        <w:rPr>
          <w:lang w:val="en-US" w:eastAsia="zh-CN"/>
        </w:rPr>
        <w:t xml:space="preserve">is </w:t>
      </w:r>
      <w:r w:rsidR="00610214">
        <w:rPr>
          <w:lang w:val="en-US" w:eastAsia="zh-CN"/>
        </w:rPr>
        <w:t>shown</w:t>
      </w:r>
      <w:r>
        <w:rPr>
          <w:lang w:val="en-US" w:eastAsia="zh-CN"/>
        </w:rPr>
        <w:t xml:space="preserve"> </w:t>
      </w:r>
      <w:r w:rsidR="00610214">
        <w:rPr>
          <w:lang w:val="en-US" w:eastAsia="zh-CN"/>
        </w:rPr>
        <w:t>below</w:t>
      </w:r>
      <w:r>
        <w:rPr>
          <w:lang w:val="en-US" w:eastAsia="zh-CN"/>
        </w:rPr>
        <w:t>:</w:t>
      </w:r>
    </w:p>
    <w:p w14:paraId="254F9C9F" w14:textId="3416D2E8" w:rsidR="005C6883" w:rsidRPr="00DC6B42" w:rsidRDefault="005C6883" w:rsidP="006C549C">
      <w:pPr>
        <w:rPr>
          <w:b/>
          <w:u w:val="single"/>
        </w:rPr>
      </w:pPr>
      <w:bookmarkStart w:id="1" w:name="_Toc22801764"/>
      <w:r w:rsidRPr="00DC6B42">
        <w:rPr>
          <w:b/>
          <w:u w:val="single"/>
        </w:rPr>
        <w:t>Power control for dual connectivity</w:t>
      </w:r>
      <w:bookmarkEnd w:id="1"/>
    </w:p>
    <w:p w14:paraId="2B751EA5" w14:textId="17FFB80E" w:rsidR="006C549C" w:rsidRPr="008A62EC" w:rsidRDefault="00DC6B42" w:rsidP="008A62EC">
      <w:pPr>
        <w:rPr>
          <w:lang w:val="en-US" w:eastAsia="zh-CN"/>
        </w:rPr>
      </w:pPr>
      <w:bookmarkStart w:id="2" w:name="_Toc22801765"/>
      <w:r>
        <w:rPr>
          <w:lang w:val="en-US" w:eastAsia="zh-CN"/>
        </w:rPr>
        <w:t>S</w:t>
      </w:r>
      <w:r w:rsidR="008A62EC" w:rsidRPr="008A62EC">
        <w:rPr>
          <w:lang w:val="en-US" w:eastAsia="zh-CN"/>
        </w:rPr>
        <w:t xml:space="preserve">emi-static </w:t>
      </w:r>
      <w:r w:rsidRPr="00DC6B42">
        <w:rPr>
          <w:lang w:val="en-US" w:eastAsia="zh-CN"/>
        </w:rPr>
        <w:t>power sharing</w:t>
      </w:r>
      <w:r>
        <w:rPr>
          <w:lang w:val="en-US" w:eastAsia="zh-CN"/>
        </w:rPr>
        <w:t xml:space="preserve"> </w:t>
      </w:r>
      <w:r w:rsidR="008A62EC" w:rsidRPr="008A62EC">
        <w:rPr>
          <w:lang w:val="en-US" w:eastAsia="zh-CN"/>
        </w:rPr>
        <w:t>and dynamic power sharing</w:t>
      </w:r>
      <w:r>
        <w:rPr>
          <w:lang w:val="en-US" w:eastAsia="zh-CN"/>
        </w:rPr>
        <w:t xml:space="preserve"> is supported </w:t>
      </w:r>
      <w:r w:rsidRPr="00DC6B42">
        <w:rPr>
          <w:lang w:val="en-US" w:eastAsia="zh-CN"/>
        </w:rPr>
        <w:t>between MCG and SCG</w:t>
      </w:r>
      <w:r w:rsidR="008A62EC" w:rsidRPr="008A62E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10022A" w:rsidRPr="00EA065A">
        <w:rPr>
          <w:lang w:val="en-US" w:eastAsia="zh-CN"/>
        </w:rPr>
        <w:t>From perspectiv</w:t>
      </w:r>
      <w:r w:rsidR="0010022A">
        <w:rPr>
          <w:lang w:val="en-US" w:eastAsia="zh-CN"/>
        </w:rPr>
        <w:t>e of RAN4, i</w:t>
      </w:r>
      <w:r>
        <w:rPr>
          <w:lang w:val="en-US" w:eastAsia="zh-CN"/>
        </w:rPr>
        <w:t xml:space="preserve">t </w:t>
      </w:r>
      <w:r w:rsidR="0010022A">
        <w:rPr>
          <w:lang w:val="en-US" w:eastAsia="zh-CN"/>
        </w:rPr>
        <w:t>has no impact on</w:t>
      </w:r>
      <w:r>
        <w:rPr>
          <w:lang w:val="en-US" w:eastAsia="zh-CN"/>
        </w:rPr>
        <w:t xml:space="preserve"> demodulation part.</w:t>
      </w:r>
    </w:p>
    <w:p w14:paraId="23ACFBBD" w14:textId="6AA5E6EB" w:rsidR="005C6883" w:rsidRPr="00DC6B42" w:rsidRDefault="005C6883" w:rsidP="006C549C">
      <w:pPr>
        <w:rPr>
          <w:b/>
          <w:u w:val="single"/>
        </w:rPr>
      </w:pPr>
      <w:r w:rsidRPr="00DC6B42">
        <w:rPr>
          <w:b/>
          <w:u w:val="single"/>
        </w:rPr>
        <w:t>Enhancements to single Tx switched uplink solution for EN-DC</w:t>
      </w:r>
      <w:bookmarkEnd w:id="2"/>
    </w:p>
    <w:p w14:paraId="7E993A8E" w14:textId="6D298E13" w:rsidR="006C549C" w:rsidRDefault="00081F85" w:rsidP="006C549C">
      <w:r>
        <w:t xml:space="preserve">A </w:t>
      </w:r>
      <w:r w:rsidRPr="00081F85">
        <w:t>new reference HARQ configuration</w:t>
      </w:r>
      <w:r>
        <w:t xml:space="preserve"> is introduced for EN-DC</w:t>
      </w:r>
      <w:r w:rsidR="00DB63AA">
        <w:t xml:space="preserve"> for</w:t>
      </w:r>
      <w:r w:rsidR="00DB63AA" w:rsidRPr="00DB63AA">
        <w:t xml:space="preserve"> LTE TDD PCell</w:t>
      </w:r>
      <w:r w:rsidR="00AA74AE">
        <w:t>, as the following Figure 2-1 shows</w:t>
      </w:r>
      <w:r>
        <w:t>.</w:t>
      </w:r>
      <w:r w:rsidR="00AA74AE" w:rsidRPr="00AA74AE">
        <w:rPr>
          <w:rFonts w:ascii="Calibri" w:hAnsi="Calibri" w:cstheme="minorBidi"/>
          <w:color w:val="000000" w:themeColor="text1"/>
          <w:kern w:val="24"/>
          <w:sz w:val="28"/>
          <w:szCs w:val="28"/>
        </w:rPr>
        <w:t xml:space="preserve"> </w:t>
      </w:r>
      <w:r w:rsidR="00AA74AE">
        <w:t>D</w:t>
      </w:r>
      <w:r w:rsidR="00AA74AE" w:rsidRPr="00AA74AE">
        <w:t>ifferent HARQ-offsets for different UEs to avoid all HARQ-ACK traffic concentrate in a subset of uplink subframes</w:t>
      </w:r>
      <w:r w:rsidR="00AA74AE">
        <w:t>.</w:t>
      </w:r>
      <w:r w:rsidR="00AA74AE" w:rsidRPr="00AA74AE">
        <w:t xml:space="preserve"> </w:t>
      </w:r>
      <w:r w:rsidR="00AA74AE">
        <w:t xml:space="preserve">For UE that </w:t>
      </w:r>
      <w:r w:rsidR="00AA74AE" w:rsidRPr="00AA74AE">
        <w:t>incapable of dynamic power sharing between NR &amp; LTE</w:t>
      </w:r>
      <w:r w:rsidR="00AA74AE">
        <w:t xml:space="preserve">, </w:t>
      </w:r>
      <w:r w:rsidR="00AA74AE" w:rsidRPr="00AA74AE">
        <w:t>any LTE UL transmissions can only take place in UL subframes designated for HARQ-ACK feedback</w:t>
      </w:r>
      <w:r w:rsidR="00AA74AE">
        <w:t>.</w:t>
      </w:r>
      <w:r w:rsidR="00AA74AE" w:rsidRPr="00AA74AE">
        <w:t xml:space="preserve"> For UE </w:t>
      </w:r>
      <w:r w:rsidR="00AA74AE">
        <w:t xml:space="preserve">that </w:t>
      </w:r>
      <w:r w:rsidR="00AA74AE" w:rsidRPr="00AA74AE">
        <w:t>capable of dynamic power sharing between NR &amp; LTE</w:t>
      </w:r>
      <w:r w:rsidR="00AA74AE">
        <w:t xml:space="preserve">, </w:t>
      </w:r>
      <w:r w:rsidR="00AA74AE" w:rsidRPr="00AA74AE">
        <w:t>LTE UL transmission scheduled by DCI can take place in UL subframes not designated for HARQ-ACK feedback. Semi-statically LTE UL transmissions are allowed in all UL subframes and prioritized over NR UL transmission under collision scenario.</w:t>
      </w:r>
    </w:p>
    <w:p w14:paraId="3A8B883F" w14:textId="15F6A3E5" w:rsidR="00AA74AE" w:rsidRDefault="00AA74AE" w:rsidP="00AA74AE">
      <w:pPr>
        <w:jc w:val="center"/>
      </w:pPr>
      <w:r w:rsidRPr="00C6717A">
        <w:rPr>
          <w:noProof/>
          <w:lang w:val="en-US" w:eastAsia="zh-CN"/>
        </w:rPr>
        <w:drawing>
          <wp:inline distT="0" distB="0" distL="0" distR="0" wp14:anchorId="31FA34DA" wp14:editId="66CA4C8F">
            <wp:extent cx="4566285" cy="2365375"/>
            <wp:effectExtent l="0" t="0" r="5715" b="0"/>
            <wp:docPr id="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285" cy="236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3F0E16" w14:textId="6D863896" w:rsidR="00AA74AE" w:rsidRDefault="00AA74AE" w:rsidP="00AA74AE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Figure 2-1 </w:t>
      </w:r>
      <w:r w:rsidRPr="00AA74AE">
        <w:rPr>
          <w:lang w:eastAsia="zh-CN"/>
        </w:rPr>
        <w:t>Enhancements to single Tx switched uplink solution for EN-DC</w:t>
      </w:r>
    </w:p>
    <w:p w14:paraId="41AB55D9" w14:textId="02DFDDC4" w:rsidR="005F5095" w:rsidRPr="006C549C" w:rsidRDefault="00AA74AE" w:rsidP="006C549C">
      <w:pPr>
        <w:rPr>
          <w:lang w:eastAsia="zh-CN"/>
        </w:rPr>
      </w:pPr>
      <w:r w:rsidRPr="00EA065A">
        <w:rPr>
          <w:lang w:val="en-US" w:eastAsia="zh-CN"/>
        </w:rPr>
        <w:t>From perspectiv</w:t>
      </w:r>
      <w:r>
        <w:rPr>
          <w:lang w:val="en-US" w:eastAsia="zh-CN"/>
        </w:rPr>
        <w:t xml:space="preserve">e of RAN4, </w:t>
      </w:r>
      <w:r w:rsidR="00084983">
        <w:rPr>
          <w:lang w:val="en-US" w:eastAsia="zh-CN"/>
        </w:rPr>
        <w:t xml:space="preserve">the limitation for </w:t>
      </w:r>
      <w:r w:rsidRPr="00AA74AE">
        <w:rPr>
          <w:lang w:val="en-US" w:eastAsia="zh-CN"/>
        </w:rPr>
        <w:t>uplink HARQ</w:t>
      </w:r>
      <w:r>
        <w:rPr>
          <w:lang w:val="en-US" w:eastAsia="zh-CN"/>
        </w:rPr>
        <w:t xml:space="preserve"> response </w:t>
      </w:r>
      <w:r w:rsidR="00084983">
        <w:rPr>
          <w:lang w:eastAsia="zh-CN"/>
        </w:rPr>
        <w:t>position is not</w:t>
      </w:r>
      <w:r w:rsidR="005F5095">
        <w:rPr>
          <w:lang w:eastAsia="zh-CN"/>
        </w:rPr>
        <w:t xml:space="preserve"> UE performance related change.</w:t>
      </w:r>
    </w:p>
    <w:p w14:paraId="072A41F6" w14:textId="7998C100" w:rsidR="005C6883" w:rsidRPr="00DC6B42" w:rsidRDefault="005C6883" w:rsidP="006C549C">
      <w:pPr>
        <w:rPr>
          <w:b/>
          <w:u w:val="single"/>
        </w:rPr>
      </w:pPr>
      <w:bookmarkStart w:id="3" w:name="_Toc22801766"/>
      <w:r w:rsidRPr="00DC6B42">
        <w:rPr>
          <w:b/>
          <w:u w:val="single"/>
        </w:rPr>
        <w:t>Efficient and low latency serving cell configuration/activation/setup</w:t>
      </w:r>
      <w:bookmarkEnd w:id="3"/>
    </w:p>
    <w:p w14:paraId="35BF49E7" w14:textId="556F6AE9" w:rsidR="006C549C" w:rsidRDefault="003D5793" w:rsidP="006C549C">
      <w:pPr>
        <w:rPr>
          <w:lang w:eastAsia="zh-CN"/>
        </w:rPr>
      </w:pPr>
      <w:bookmarkStart w:id="4" w:name="_Toc22801767"/>
      <w:r w:rsidRPr="003D5793">
        <w:rPr>
          <w:lang w:eastAsia="zh-CN"/>
        </w:rPr>
        <w:t>To reduce power consumption of UE in SCells but also keep the SCells configuration and can fast return to SC</w:t>
      </w:r>
      <w:r>
        <w:rPr>
          <w:lang w:eastAsia="zh-CN"/>
        </w:rPr>
        <w:t>e</w:t>
      </w:r>
      <w:r w:rsidRPr="003D5793">
        <w:rPr>
          <w:lang w:eastAsia="zh-CN"/>
        </w:rPr>
        <w:t>lls utilization for data transfer</w:t>
      </w:r>
      <w:r>
        <w:rPr>
          <w:lang w:eastAsia="zh-CN"/>
        </w:rPr>
        <w:t xml:space="preserve">, </w:t>
      </w:r>
      <w:r w:rsidRPr="003D5793">
        <w:rPr>
          <w:lang w:eastAsia="zh-CN"/>
        </w:rPr>
        <w:t xml:space="preserve">dormant </w:t>
      </w:r>
      <w:r>
        <w:rPr>
          <w:lang w:eastAsia="zh-CN"/>
        </w:rPr>
        <w:t>SCells are i</w:t>
      </w:r>
      <w:r w:rsidRPr="003D5793">
        <w:rPr>
          <w:lang w:eastAsia="zh-CN"/>
        </w:rPr>
        <w:t>ntroduce</w:t>
      </w:r>
      <w:r>
        <w:rPr>
          <w:lang w:eastAsia="zh-CN"/>
        </w:rPr>
        <w:t>d</w:t>
      </w:r>
      <w:r w:rsidRPr="003D5793">
        <w:rPr>
          <w:lang w:eastAsia="zh-CN"/>
        </w:rPr>
        <w:t>. UE in dormant SCells is still in the activated state</w:t>
      </w:r>
      <w:r>
        <w:rPr>
          <w:lang w:eastAsia="zh-CN"/>
        </w:rPr>
        <w:t>, b</w:t>
      </w:r>
      <w:r w:rsidRPr="003D5793">
        <w:rPr>
          <w:lang w:eastAsia="zh-CN"/>
        </w:rPr>
        <w:t>ut UE behaviour is different from the normal activated state.</w:t>
      </w:r>
    </w:p>
    <w:p w14:paraId="09E7166C" w14:textId="77777777" w:rsidR="002B1838" w:rsidRDefault="003D5793" w:rsidP="003D5793">
      <w:pPr>
        <w:rPr>
          <w:lang w:val="en-US" w:eastAsia="zh-CN"/>
        </w:rPr>
      </w:pPr>
      <w:r>
        <w:rPr>
          <w:lang w:val="en-US" w:eastAsia="zh-CN"/>
        </w:rPr>
        <w:t xml:space="preserve">For physical layer design, </w:t>
      </w:r>
      <w:r w:rsidR="005B7D9C">
        <w:rPr>
          <w:lang w:val="en-US" w:eastAsia="zh-CN"/>
        </w:rPr>
        <w:t xml:space="preserve">RAN 1 introduce </w:t>
      </w:r>
      <w:r w:rsidR="005B7D9C" w:rsidRPr="003D5793">
        <w:rPr>
          <w:lang w:val="en-US" w:eastAsia="zh-CN"/>
        </w:rPr>
        <w:t>an explicit information field</w:t>
      </w:r>
      <w:r w:rsidR="005B7D9C">
        <w:rPr>
          <w:lang w:val="en-US" w:eastAsia="zh-CN"/>
        </w:rPr>
        <w:t xml:space="preserve"> to the PDCCH WUS</w:t>
      </w:r>
      <w:r w:rsidR="005B7D9C" w:rsidRPr="005B7D9C">
        <w:rPr>
          <w:lang w:val="en-US" w:eastAsia="zh-CN"/>
        </w:rPr>
        <w:t xml:space="preserve"> </w:t>
      </w:r>
      <w:r w:rsidR="005B7D9C">
        <w:rPr>
          <w:lang w:val="en-US" w:eastAsia="zh-CN"/>
        </w:rPr>
        <w:t>w</w:t>
      </w:r>
      <w:r w:rsidR="005B7D9C" w:rsidRPr="003D5793">
        <w:rPr>
          <w:lang w:val="en-US" w:eastAsia="zh-CN"/>
        </w:rPr>
        <w:t xml:space="preserve">hen UE is outside </w:t>
      </w:r>
      <w:r w:rsidR="005B7D9C">
        <w:rPr>
          <w:lang w:val="en-US" w:eastAsia="zh-CN"/>
        </w:rPr>
        <w:t>active t</w:t>
      </w:r>
      <w:r w:rsidR="005B7D9C" w:rsidRPr="003D5793">
        <w:rPr>
          <w:lang w:val="en-US" w:eastAsia="zh-CN"/>
        </w:rPr>
        <w:t>ime</w:t>
      </w:r>
      <w:r w:rsidR="005B7D9C">
        <w:rPr>
          <w:lang w:val="en-US" w:eastAsia="zh-CN"/>
        </w:rPr>
        <w:t xml:space="preserve"> and </w:t>
      </w:r>
      <w:r w:rsidR="005B7D9C" w:rsidRPr="003D5793">
        <w:rPr>
          <w:lang w:val="en-US" w:eastAsia="zh-CN"/>
        </w:rPr>
        <w:t>an explicit information field</w:t>
      </w:r>
      <w:r w:rsidR="005B7D9C">
        <w:rPr>
          <w:lang w:val="en-US" w:eastAsia="zh-CN"/>
        </w:rPr>
        <w:t xml:space="preserve"> to </w:t>
      </w:r>
      <w:r w:rsidR="005B7D9C" w:rsidRPr="003D5793">
        <w:rPr>
          <w:lang w:val="en-US" w:eastAsia="zh-CN"/>
        </w:rPr>
        <w:t>DCI formats 0-1/1-1 for the primary cell</w:t>
      </w:r>
      <w:r w:rsidR="005B7D9C" w:rsidRPr="005B7D9C">
        <w:rPr>
          <w:lang w:val="en-US" w:eastAsia="zh-CN"/>
        </w:rPr>
        <w:t xml:space="preserve"> </w:t>
      </w:r>
      <w:r w:rsidR="005B7D9C">
        <w:rPr>
          <w:lang w:val="en-US" w:eastAsia="zh-CN"/>
        </w:rPr>
        <w:t>w</w:t>
      </w:r>
      <w:r w:rsidR="005B7D9C" w:rsidRPr="003D5793">
        <w:rPr>
          <w:lang w:val="en-US" w:eastAsia="zh-CN"/>
        </w:rPr>
        <w:t xml:space="preserve">hen UE is in </w:t>
      </w:r>
      <w:r w:rsidR="005B7D9C">
        <w:rPr>
          <w:lang w:val="en-US" w:eastAsia="zh-CN"/>
        </w:rPr>
        <w:t>a</w:t>
      </w:r>
      <w:r w:rsidR="005B7D9C" w:rsidRPr="003D5793">
        <w:rPr>
          <w:lang w:val="en-US" w:eastAsia="zh-CN"/>
        </w:rPr>
        <w:t xml:space="preserve">ctive </w:t>
      </w:r>
      <w:r w:rsidR="005B7D9C">
        <w:rPr>
          <w:lang w:val="en-US" w:eastAsia="zh-CN"/>
        </w:rPr>
        <w:t>t</w:t>
      </w:r>
      <w:r w:rsidR="005B7D9C" w:rsidRPr="003D5793">
        <w:rPr>
          <w:lang w:val="en-US" w:eastAsia="zh-CN"/>
        </w:rPr>
        <w:t>ime</w:t>
      </w:r>
      <w:r w:rsidR="005B7D9C">
        <w:rPr>
          <w:lang w:val="en-US" w:eastAsia="zh-CN"/>
        </w:rPr>
        <w:t xml:space="preserve">. </w:t>
      </w:r>
      <w:r w:rsidR="00D35EAF" w:rsidRPr="00D35EAF">
        <w:rPr>
          <w:lang w:val="en-US" w:eastAsia="zh-CN"/>
        </w:rPr>
        <w:t>The explicit information field for SCell dor</w:t>
      </w:r>
      <w:r w:rsidR="00D35EAF">
        <w:rPr>
          <w:lang w:val="en-US" w:eastAsia="zh-CN"/>
        </w:rPr>
        <w:t>mancy indication is a bitmap that the length</w:t>
      </w:r>
      <w:r w:rsidR="00D35EAF" w:rsidRPr="00D35EAF">
        <w:rPr>
          <w:lang w:val="en-US" w:eastAsia="zh-CN"/>
        </w:rPr>
        <w:t xml:space="preserve"> is the number of configured </w:t>
      </w:r>
      <w:r w:rsidR="002B1838" w:rsidRPr="00D35EAF">
        <w:rPr>
          <w:lang w:val="en-US" w:eastAsia="zh-CN"/>
        </w:rPr>
        <w:t>S</w:t>
      </w:r>
      <w:r w:rsidR="002B1838">
        <w:rPr>
          <w:lang w:val="en-US" w:eastAsia="zh-CN"/>
        </w:rPr>
        <w:t>Cell groups</w:t>
      </w:r>
      <w:r w:rsidR="00D35EAF" w:rsidRPr="00D35EAF">
        <w:rPr>
          <w:lang w:val="en-US" w:eastAsia="zh-CN"/>
        </w:rPr>
        <w:t xml:space="preserve"> for the UE</w:t>
      </w:r>
      <w:r w:rsidR="00D35EAF">
        <w:rPr>
          <w:lang w:val="en-US" w:eastAsia="zh-CN"/>
        </w:rPr>
        <w:t xml:space="preserve"> and up to 5 bit</w:t>
      </w:r>
      <w:r w:rsidR="00D35EAF" w:rsidRPr="00D35EAF">
        <w:rPr>
          <w:lang w:val="en-US" w:eastAsia="zh-CN"/>
        </w:rPr>
        <w:t xml:space="preserve">, and each bit in the bitmap corresponds to one configured </w:t>
      </w:r>
      <w:r w:rsidR="002B1838" w:rsidRPr="00D35EAF">
        <w:rPr>
          <w:lang w:val="en-US" w:eastAsia="zh-CN"/>
        </w:rPr>
        <w:t>SCell</w:t>
      </w:r>
      <w:r w:rsidR="002B1838">
        <w:rPr>
          <w:lang w:val="en-US" w:eastAsia="zh-CN"/>
        </w:rPr>
        <w:t xml:space="preserve"> groups</w:t>
      </w:r>
      <w:r w:rsidR="00D35EAF">
        <w:rPr>
          <w:lang w:val="en-US" w:eastAsia="zh-CN"/>
        </w:rPr>
        <w:t xml:space="preserve">. </w:t>
      </w:r>
    </w:p>
    <w:p w14:paraId="7BC762E3" w14:textId="3EA084C5" w:rsidR="005B7D9C" w:rsidRPr="00EA065A" w:rsidRDefault="002B1838" w:rsidP="003D5793">
      <w:pPr>
        <w:rPr>
          <w:lang w:val="en-US" w:eastAsia="zh-CN"/>
        </w:rPr>
      </w:pPr>
      <w:r w:rsidRPr="00EA065A">
        <w:rPr>
          <w:lang w:val="en-US" w:eastAsia="zh-CN"/>
        </w:rPr>
        <w:t>When UE is within active time, t</w:t>
      </w:r>
      <w:r w:rsidR="00D35EAF" w:rsidRPr="00EA065A">
        <w:rPr>
          <w:lang w:val="en-US" w:eastAsia="zh-CN"/>
        </w:rPr>
        <w:t>here are t</w:t>
      </w:r>
      <w:r w:rsidR="005B7D9C" w:rsidRPr="00EA065A">
        <w:rPr>
          <w:lang w:val="en-US" w:eastAsia="zh-CN"/>
        </w:rPr>
        <w:t>wo cases specified</w:t>
      </w:r>
      <w:r w:rsidR="00D35EAF" w:rsidRPr="00EA065A">
        <w:rPr>
          <w:lang w:val="en-US" w:eastAsia="zh-CN"/>
        </w:rPr>
        <w:t xml:space="preserve"> as following:</w:t>
      </w:r>
    </w:p>
    <w:p w14:paraId="22D0C5B0" w14:textId="34568BB7" w:rsidR="00D35EAF" w:rsidRPr="00EA065A" w:rsidRDefault="00D35EAF" w:rsidP="002B1838">
      <w:pPr>
        <w:pStyle w:val="a3"/>
        <w:numPr>
          <w:ilvl w:val="0"/>
          <w:numId w:val="31"/>
        </w:numPr>
        <w:ind w:firstLineChars="0"/>
        <w:rPr>
          <w:lang w:val="en-US" w:eastAsia="zh-CN"/>
        </w:rPr>
      </w:pPr>
      <w:r w:rsidRPr="00EA065A">
        <w:rPr>
          <w:lang w:val="en-US" w:eastAsia="zh-CN"/>
        </w:rPr>
        <w:t>Case 1: PDCCH schedules data for primary cell and also indicates dormancy for SCells.</w:t>
      </w:r>
    </w:p>
    <w:p w14:paraId="25A40A42" w14:textId="710051FF" w:rsidR="00D35EAF" w:rsidRPr="00EA065A" w:rsidRDefault="00D35EAF" w:rsidP="002B1838">
      <w:pPr>
        <w:pStyle w:val="a3"/>
        <w:numPr>
          <w:ilvl w:val="0"/>
          <w:numId w:val="31"/>
        </w:numPr>
        <w:ind w:firstLineChars="0"/>
        <w:rPr>
          <w:lang w:val="en-US" w:eastAsia="zh-CN"/>
        </w:rPr>
      </w:pPr>
      <w:r w:rsidRPr="00EA065A">
        <w:rPr>
          <w:lang w:val="en-US" w:eastAsia="zh-CN"/>
        </w:rPr>
        <w:t>Case2: PDCCH with DCI format 1-1 is used for indicating dormancy for SCells, and UE is indicated that the PDCCH is not used for PDSCH scheduling.</w:t>
      </w:r>
    </w:p>
    <w:p w14:paraId="7959F95D" w14:textId="294A0E9E" w:rsidR="0077616D" w:rsidRPr="00EA065A" w:rsidRDefault="0077616D" w:rsidP="002B1838">
      <w:pPr>
        <w:rPr>
          <w:lang w:val="en-US" w:eastAsia="zh-CN"/>
        </w:rPr>
      </w:pPr>
      <w:r w:rsidRPr="00EA065A">
        <w:rPr>
          <w:lang w:val="en-US" w:eastAsia="zh-CN"/>
        </w:rPr>
        <w:t>For C</w:t>
      </w:r>
      <w:r w:rsidR="0016069E" w:rsidRPr="00EA065A">
        <w:rPr>
          <w:lang w:val="en-US" w:eastAsia="zh-CN"/>
        </w:rPr>
        <w:t>ase 2,</w:t>
      </w:r>
      <w:r w:rsidR="00902ABF" w:rsidRPr="00EA065A">
        <w:rPr>
          <w:lang w:val="en-US" w:eastAsia="zh-CN"/>
        </w:rPr>
        <w:t xml:space="preserve"> ACK is transmitted by the UE in response to detection of Case 2 PDCCH with SCell dormancy indication</w:t>
      </w:r>
      <w:r w:rsidR="008A4E9A" w:rsidRPr="00EA065A">
        <w:rPr>
          <w:lang w:val="en-US" w:eastAsia="zh-CN"/>
        </w:rPr>
        <w:t xml:space="preserve"> for Type 2 codebook while no HARQ response is supported in response to detection of Case 2 PDCCH with SCell dormancy indication for Type 1 codebook</w:t>
      </w:r>
      <w:r w:rsidR="0062457E" w:rsidRPr="00EA065A">
        <w:rPr>
          <w:lang w:val="en-US" w:eastAsia="zh-CN"/>
        </w:rPr>
        <w:t>.</w:t>
      </w:r>
    </w:p>
    <w:p w14:paraId="4D335983" w14:textId="1A942ED1" w:rsidR="003D5793" w:rsidRPr="003D5793" w:rsidRDefault="0062457E" w:rsidP="003D5793">
      <w:pPr>
        <w:rPr>
          <w:lang w:val="en-US" w:eastAsia="zh-CN"/>
        </w:rPr>
      </w:pPr>
      <w:r w:rsidRPr="00EA065A">
        <w:rPr>
          <w:lang w:val="en-US" w:eastAsia="zh-CN"/>
        </w:rPr>
        <w:t xml:space="preserve">From perspective of RAN4, although new HARQ response mechanism in introduced for </w:t>
      </w:r>
      <w:r w:rsidR="00EA065A" w:rsidRPr="00EA065A">
        <w:rPr>
          <w:lang w:val="en-US" w:eastAsia="zh-CN"/>
        </w:rPr>
        <w:t>Type 2 codebook for Case 2 when UE is within active time, there is no new</w:t>
      </w:r>
      <w:r w:rsidRPr="00EA065A">
        <w:rPr>
          <w:lang w:eastAsia="zh-CN"/>
        </w:rPr>
        <w:t xml:space="preserve"> algorithms are introduced on PDCCH demodulation with only total number of payload bits increased.</w:t>
      </w:r>
    </w:p>
    <w:p w14:paraId="1997613F" w14:textId="743111F6" w:rsidR="005C6883" w:rsidRPr="006C549C" w:rsidRDefault="005C6883" w:rsidP="006C549C">
      <w:pPr>
        <w:rPr>
          <w:b/>
          <w:u w:val="single"/>
        </w:rPr>
      </w:pPr>
      <w:r w:rsidRPr="006C549C">
        <w:rPr>
          <w:b/>
          <w:u w:val="single"/>
        </w:rPr>
        <w:t>Cross-carrier scheduling with different numerologies on the scheduling and scheduled carriers</w:t>
      </w:r>
      <w:bookmarkEnd w:id="4"/>
    </w:p>
    <w:p w14:paraId="5FF716C6" w14:textId="2A2F9D35" w:rsidR="00147E69" w:rsidRDefault="00B053A4" w:rsidP="008266B0">
      <w:pPr>
        <w:rPr>
          <w:lang w:eastAsia="zh-CN"/>
        </w:rPr>
      </w:pPr>
      <w:bookmarkStart w:id="5" w:name="_Toc22801768"/>
      <w:r>
        <w:rPr>
          <w:lang w:eastAsia="zh-CN"/>
        </w:rPr>
        <w:t>T</w:t>
      </w:r>
      <w:r w:rsidR="008266B0">
        <w:rPr>
          <w:lang w:eastAsia="zh-CN"/>
        </w:rPr>
        <w:t xml:space="preserve">he case that scheduling cell of lower SCS </w:t>
      </w:r>
      <w:r>
        <w:rPr>
          <w:lang w:eastAsia="zh-CN"/>
        </w:rPr>
        <w:t>with</w:t>
      </w:r>
      <w:r w:rsidR="008266B0">
        <w:rPr>
          <w:lang w:eastAsia="zh-CN"/>
        </w:rPr>
        <w:t xml:space="preserve"> scheduled cell of higher SCS</w:t>
      </w:r>
      <w:r>
        <w:rPr>
          <w:lang w:eastAsia="zh-CN"/>
        </w:rPr>
        <w:t xml:space="preserve"> and the case that s</w:t>
      </w:r>
      <w:r w:rsidR="006955D6">
        <w:rPr>
          <w:lang w:eastAsia="zh-CN"/>
        </w:rPr>
        <w:t xml:space="preserve">cheduling cell of higher SCS with </w:t>
      </w:r>
      <w:r w:rsidR="008266B0">
        <w:rPr>
          <w:lang w:eastAsia="zh-CN"/>
        </w:rPr>
        <w:t>scheduled cell of lower SCS</w:t>
      </w:r>
      <w:r>
        <w:rPr>
          <w:lang w:eastAsia="zh-CN"/>
        </w:rPr>
        <w:t xml:space="preserve"> is introduced. </w:t>
      </w:r>
      <w:r w:rsidR="00147E69">
        <w:rPr>
          <w:lang w:val="en-US" w:eastAsia="zh-CN"/>
        </w:rPr>
        <w:t xml:space="preserve">From perspective of RAN4, it is a new </w:t>
      </w:r>
      <w:r w:rsidR="006955D6">
        <w:rPr>
          <w:lang w:val="en-US" w:eastAsia="zh-CN"/>
        </w:rPr>
        <w:t xml:space="preserve">feature for </w:t>
      </w:r>
      <w:r w:rsidR="00147E69" w:rsidRPr="00147E69">
        <w:rPr>
          <w:lang w:val="en-US" w:eastAsia="zh-CN"/>
        </w:rPr>
        <w:t>scheduling</w:t>
      </w:r>
      <w:r w:rsidR="006955D6">
        <w:rPr>
          <w:lang w:val="en-US" w:eastAsia="zh-CN"/>
        </w:rPr>
        <w:t xml:space="preserve"> but</w:t>
      </w:r>
      <w:r w:rsidR="00147E69" w:rsidRPr="00147E69">
        <w:rPr>
          <w:lang w:val="en-US" w:eastAsia="zh-CN"/>
        </w:rPr>
        <w:t xml:space="preserve"> </w:t>
      </w:r>
      <w:r w:rsidR="00147E69">
        <w:rPr>
          <w:lang w:val="en-US" w:eastAsia="zh-CN"/>
        </w:rPr>
        <w:t>has no impact on</w:t>
      </w:r>
      <w:r w:rsidR="00147E69" w:rsidRPr="00147E69">
        <w:rPr>
          <w:lang w:val="en-US" w:eastAsia="zh-CN"/>
        </w:rPr>
        <w:t xml:space="preserve"> the final demodulation performance.</w:t>
      </w:r>
    </w:p>
    <w:p w14:paraId="1E211DFC" w14:textId="198AF90A" w:rsidR="005C6883" w:rsidRPr="006C549C" w:rsidRDefault="005C6883" w:rsidP="006C549C">
      <w:pPr>
        <w:rPr>
          <w:b/>
          <w:u w:val="single"/>
        </w:rPr>
      </w:pPr>
      <w:r w:rsidRPr="006C549C">
        <w:rPr>
          <w:b/>
          <w:u w:val="single"/>
        </w:rPr>
        <w:t>Support of aperiodic CSI-RS triggering with different numerology between CSI-RS and triggering PDCCH</w:t>
      </w:r>
      <w:bookmarkEnd w:id="5"/>
    </w:p>
    <w:p w14:paraId="192A79C0" w14:textId="613BFAFE" w:rsidR="006C549C" w:rsidRDefault="00B053A4" w:rsidP="006C549C">
      <w:pPr>
        <w:rPr>
          <w:lang w:eastAsia="zh-CN"/>
        </w:rPr>
      </w:pPr>
      <w:bookmarkStart w:id="6" w:name="_Toc22801769"/>
      <w:r>
        <w:rPr>
          <w:lang w:eastAsia="zh-CN"/>
        </w:rPr>
        <w:t xml:space="preserve">The case that PDCCH of lower SCS with </w:t>
      </w:r>
      <w:r w:rsidRPr="00B053A4">
        <w:rPr>
          <w:lang w:eastAsia="zh-CN"/>
        </w:rPr>
        <w:t>CSI-RS</w:t>
      </w:r>
      <w:r>
        <w:rPr>
          <w:lang w:eastAsia="zh-CN"/>
        </w:rPr>
        <w:t xml:space="preserve"> of higher SCS and the case that PDCCH of higher SCS with </w:t>
      </w:r>
      <w:r w:rsidRPr="00B053A4">
        <w:rPr>
          <w:lang w:eastAsia="zh-CN"/>
        </w:rPr>
        <w:t>CSI-RS</w:t>
      </w:r>
      <w:r>
        <w:rPr>
          <w:lang w:eastAsia="zh-CN"/>
        </w:rPr>
        <w:t xml:space="preserve"> of lower SCS is introduced. </w:t>
      </w:r>
      <w:r>
        <w:rPr>
          <w:lang w:val="en-US" w:eastAsia="zh-CN"/>
        </w:rPr>
        <w:t xml:space="preserve">From perspective of RAN4, it is a new feature for </w:t>
      </w:r>
      <w:r w:rsidRPr="00147E69">
        <w:rPr>
          <w:lang w:val="en-US" w:eastAsia="zh-CN"/>
        </w:rPr>
        <w:t>scheduling</w:t>
      </w:r>
      <w:r>
        <w:rPr>
          <w:lang w:val="en-US" w:eastAsia="zh-CN"/>
        </w:rPr>
        <w:t xml:space="preserve"> but</w:t>
      </w:r>
      <w:r w:rsidRPr="00147E69">
        <w:rPr>
          <w:lang w:val="en-US" w:eastAsia="zh-CN"/>
        </w:rPr>
        <w:t xml:space="preserve"> </w:t>
      </w:r>
      <w:r>
        <w:rPr>
          <w:lang w:val="en-US" w:eastAsia="zh-CN"/>
        </w:rPr>
        <w:t>has no impact on</w:t>
      </w:r>
      <w:r w:rsidRPr="00147E69">
        <w:rPr>
          <w:lang w:val="en-US" w:eastAsia="zh-CN"/>
        </w:rPr>
        <w:t xml:space="preserve"> the demodulation performance.</w:t>
      </w:r>
    </w:p>
    <w:p w14:paraId="08140E39" w14:textId="458F1B8F" w:rsidR="005C6883" w:rsidRPr="00DC6B42" w:rsidRDefault="005C6883" w:rsidP="006C549C">
      <w:pPr>
        <w:rPr>
          <w:b/>
          <w:u w:val="single"/>
        </w:rPr>
      </w:pPr>
      <w:r w:rsidRPr="00DC6B42">
        <w:rPr>
          <w:b/>
          <w:u w:val="single"/>
        </w:rPr>
        <w:t>Support of unaligned frame boundary with slot alignment and partial SFN alignment for R16 NR inter-band CA</w:t>
      </w:r>
      <w:bookmarkEnd w:id="6"/>
    </w:p>
    <w:p w14:paraId="2EA5D2E0" w14:textId="2A1C9739" w:rsidR="006C549C" w:rsidRDefault="005F5095" w:rsidP="00610214">
      <w:pPr>
        <w:rPr>
          <w:lang w:eastAsia="zh-CN"/>
        </w:rPr>
      </w:pPr>
      <w:r>
        <w:rPr>
          <w:lang w:eastAsia="zh-CN"/>
        </w:rPr>
        <w:t>E</w:t>
      </w:r>
      <w:r w:rsidR="006C549C" w:rsidRPr="00DD494C">
        <w:rPr>
          <w:lang w:eastAsia="zh-CN"/>
        </w:rPr>
        <w:t xml:space="preserve">xplicit RRC signalling of slot offset </w:t>
      </w:r>
      <w:r w:rsidR="008858FE">
        <w:rPr>
          <w:lang w:eastAsia="zh-CN"/>
        </w:rPr>
        <w:t>is configured to</w:t>
      </w:r>
      <w:r w:rsidR="006C549C" w:rsidRPr="00DD494C">
        <w:rPr>
          <w:lang w:eastAsia="zh-CN"/>
        </w:rPr>
        <w:t xml:space="preserve"> the</w:t>
      </w:r>
      <w:r w:rsidR="008858FE">
        <w:rPr>
          <w:lang w:eastAsia="zh-CN"/>
        </w:rPr>
        <w:t xml:space="preserve"> UE for unaligned frame boundary for </w:t>
      </w:r>
      <w:r w:rsidR="008858FE" w:rsidRPr="008858FE">
        <w:rPr>
          <w:lang w:eastAsia="zh-CN"/>
        </w:rPr>
        <w:t>inter-band CA</w:t>
      </w:r>
      <w:r w:rsidR="008858FE">
        <w:rPr>
          <w:lang w:eastAsia="zh-CN"/>
        </w:rPr>
        <w:t xml:space="preserve"> to ensure that there is a unique i</w:t>
      </w:r>
      <w:r w:rsidR="008858FE" w:rsidRPr="008858FE">
        <w:rPr>
          <w:lang w:eastAsia="zh-CN"/>
        </w:rPr>
        <w:t>nterpretation</w:t>
      </w:r>
      <w:r w:rsidR="008858FE">
        <w:rPr>
          <w:lang w:eastAsia="zh-CN"/>
        </w:rPr>
        <w:t xml:space="preserve"> for timing in </w:t>
      </w:r>
      <w:r w:rsidR="008858FE" w:rsidRPr="008858FE">
        <w:rPr>
          <w:lang w:eastAsia="zh-CN"/>
        </w:rPr>
        <w:t>scheduled cell</w:t>
      </w:r>
      <w:r w:rsidR="008858FE">
        <w:rPr>
          <w:lang w:eastAsia="zh-CN"/>
        </w:rPr>
        <w:t xml:space="preserve"> for </w:t>
      </w:r>
      <w:r w:rsidR="008858FE" w:rsidRPr="008858FE">
        <w:rPr>
          <w:lang w:eastAsia="zh-CN"/>
        </w:rPr>
        <w:t>cross-carrier operation</w:t>
      </w:r>
      <w:r w:rsidR="008858FE">
        <w:rPr>
          <w:lang w:eastAsia="zh-CN"/>
        </w:rPr>
        <w:t>.</w:t>
      </w:r>
      <w:r w:rsidR="001F3E01">
        <w:rPr>
          <w:lang w:eastAsia="zh-CN"/>
        </w:rPr>
        <w:t xml:space="preserve"> </w:t>
      </w:r>
      <w:r w:rsidR="00147E69">
        <w:rPr>
          <w:lang w:val="en-US" w:eastAsia="zh-CN"/>
        </w:rPr>
        <w:t>From perspective of RAN4</w:t>
      </w:r>
      <w:r w:rsidR="00F40152">
        <w:rPr>
          <w:lang w:eastAsia="zh-CN"/>
        </w:rPr>
        <w:t>, it is a functional</w:t>
      </w:r>
      <w:r>
        <w:rPr>
          <w:lang w:eastAsia="zh-CN"/>
        </w:rPr>
        <w:t xml:space="preserve"> change</w:t>
      </w:r>
      <w:r w:rsidR="00F40152">
        <w:rPr>
          <w:lang w:eastAsia="zh-CN"/>
        </w:rPr>
        <w:t xml:space="preserve"> </w:t>
      </w:r>
      <w:r w:rsidR="00445D9C">
        <w:rPr>
          <w:lang w:eastAsia="zh-CN"/>
        </w:rPr>
        <w:t>and n</w:t>
      </w:r>
      <w:r w:rsidR="006C549C">
        <w:rPr>
          <w:lang w:eastAsia="zh-CN"/>
        </w:rPr>
        <w:t xml:space="preserve">o impact on </w:t>
      </w:r>
      <w:r w:rsidR="00F40152" w:rsidRPr="00610214">
        <w:rPr>
          <w:lang w:eastAsia="zh-CN"/>
        </w:rPr>
        <w:t>demodulation performance</w:t>
      </w:r>
      <w:r w:rsidR="00F40152">
        <w:rPr>
          <w:lang w:eastAsia="zh-CN"/>
        </w:rPr>
        <w:t>.</w:t>
      </w:r>
    </w:p>
    <w:p w14:paraId="42158E35" w14:textId="70CFEC4A" w:rsidR="00F40152" w:rsidRDefault="00F40152" w:rsidP="00610214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above, we can make the conclusion that there is no need to introduce any </w:t>
      </w:r>
      <w:r w:rsidRPr="00F40152">
        <w:rPr>
          <w:lang w:eastAsia="zh-CN"/>
        </w:rPr>
        <w:t>performance requirements for Multi-RAT Dual-Connectivity and Carrier Aggregation enhancements.</w:t>
      </w:r>
    </w:p>
    <w:p w14:paraId="71672533" w14:textId="20B736C5" w:rsidR="00F40152" w:rsidRPr="00F40152" w:rsidRDefault="00F40152" w:rsidP="00610214">
      <w:pPr>
        <w:rPr>
          <w:b/>
          <w:lang w:val="en-US" w:eastAsia="zh-CN"/>
        </w:rPr>
      </w:pPr>
      <w:r w:rsidRPr="00DD494C">
        <w:rPr>
          <w:b/>
          <w:lang w:val="en-US" w:eastAsia="zh-CN"/>
        </w:rPr>
        <w:t xml:space="preserve">Proposal 1: Do not introduce any performance requirements for </w:t>
      </w:r>
      <w:r w:rsidRPr="00F40152">
        <w:rPr>
          <w:b/>
          <w:lang w:val="en-US" w:eastAsia="zh-CN"/>
        </w:rPr>
        <w:t>Multi-RAT Dual-Connectivity and Carrier Aggregation enhancements</w:t>
      </w:r>
      <w:r w:rsidRPr="00DD494C">
        <w:rPr>
          <w:b/>
          <w:lang w:val="en-US" w:eastAsia="zh-CN"/>
        </w:rPr>
        <w:t>.</w:t>
      </w:r>
    </w:p>
    <w:p w14:paraId="23F8540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P</w:t>
      </w:r>
      <w:r>
        <w:rPr>
          <w:lang w:val="en-US" w:eastAsia="zh-CN"/>
        </w:rPr>
        <w:t>roposals</w:t>
      </w:r>
    </w:p>
    <w:p w14:paraId="08BB6BA1" w14:textId="156A3F50"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="005C6883">
        <w:rPr>
          <w:lang w:eastAsia="zh-CN"/>
        </w:rPr>
        <w:t>Multi-RAT Dual-Connectivity and Carrier Aggregation enhancements</w:t>
      </w:r>
      <w:r w:rsidR="005C6883">
        <w:rPr>
          <w:lang w:val="en-US" w:eastAsia="zh-CN"/>
        </w:rPr>
        <w:t xml:space="preserve"> demodulation performance requirements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14:paraId="3679B562" w14:textId="7A3BA94B" w:rsidR="00DD494C" w:rsidRPr="00DD494C" w:rsidRDefault="00DD494C" w:rsidP="009163A1">
      <w:pPr>
        <w:rPr>
          <w:b/>
          <w:lang w:val="en-US" w:eastAsia="zh-CN"/>
        </w:rPr>
      </w:pPr>
      <w:r w:rsidRPr="00DD494C">
        <w:rPr>
          <w:b/>
          <w:lang w:val="en-US" w:eastAsia="zh-CN"/>
        </w:rPr>
        <w:t xml:space="preserve">Proposal 1: Do not introduce any performance requirements for </w:t>
      </w:r>
      <w:r w:rsidR="00F40152" w:rsidRPr="00F40152">
        <w:rPr>
          <w:b/>
          <w:lang w:val="en-US" w:eastAsia="zh-CN"/>
        </w:rPr>
        <w:t>Multi-RAT Dual-Connectivity and Carrier Aggregation enhancements</w:t>
      </w:r>
      <w:r w:rsidRPr="00DD494C">
        <w:rPr>
          <w:b/>
          <w:lang w:val="en-US" w:eastAsia="zh-CN"/>
        </w:rPr>
        <w:t>.</w:t>
      </w:r>
    </w:p>
    <w:p w14:paraId="4DFAFEA9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46C265A" w14:textId="4E919796" w:rsidR="003D025A" w:rsidRPr="00365F87" w:rsidRDefault="00F86921" w:rsidP="00365F87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</w:t>
      </w:r>
      <w:r w:rsidR="005C6883">
        <w:rPr>
          <w:lang w:val="en-US" w:eastAsia="zh-CN"/>
        </w:rPr>
        <w:t>P-201532</w:t>
      </w:r>
      <w:r w:rsidR="009163A1" w:rsidRPr="009163A1">
        <w:rPr>
          <w:lang w:val="en-US" w:eastAsia="zh-CN"/>
        </w:rPr>
        <w:t xml:space="preserve">, </w:t>
      </w:r>
      <w:r w:rsidR="005C6883">
        <w:rPr>
          <w:lang w:eastAsia="zh-CN"/>
        </w:rPr>
        <w:t>Status report for WI on Multi-RAT Dual-Connectivity and Carrier Aggregation enhancements</w:t>
      </w:r>
      <w:r w:rsidR="005C6883">
        <w:rPr>
          <w:lang w:val="en-US" w:eastAsia="zh-CN"/>
        </w:rPr>
        <w:t>, RAN#89</w:t>
      </w:r>
      <w:r w:rsidR="00441622">
        <w:rPr>
          <w:lang w:val="en-US" w:eastAsia="zh-CN"/>
        </w:rPr>
        <w:t>-e</w:t>
      </w:r>
      <w:r w:rsidR="005C6883">
        <w:rPr>
          <w:lang w:val="en-US" w:eastAsia="zh-CN"/>
        </w:rPr>
        <w:t>, Ericsson</w:t>
      </w:r>
    </w:p>
    <w:sectPr w:rsidR="003D025A" w:rsidRPr="00365F87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5B645" w14:textId="77777777" w:rsidR="00461CF3" w:rsidRDefault="00461CF3" w:rsidP="009163A1">
      <w:pPr>
        <w:spacing w:after="0"/>
      </w:pPr>
      <w:r>
        <w:separator/>
      </w:r>
    </w:p>
  </w:endnote>
  <w:endnote w:type="continuationSeparator" w:id="0">
    <w:p w14:paraId="4C7C492E" w14:textId="77777777" w:rsidR="00461CF3" w:rsidRDefault="00461CF3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B40F1" w14:textId="77777777" w:rsidR="00461CF3" w:rsidRDefault="00461CF3" w:rsidP="009163A1">
      <w:pPr>
        <w:spacing w:after="0"/>
      </w:pPr>
      <w:r>
        <w:separator/>
      </w:r>
    </w:p>
  </w:footnote>
  <w:footnote w:type="continuationSeparator" w:id="0">
    <w:p w14:paraId="117B70F3" w14:textId="77777777" w:rsidR="00461CF3" w:rsidRDefault="00461CF3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07B60"/>
    <w:multiLevelType w:val="hybridMultilevel"/>
    <w:tmpl w:val="DE00573E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A5520DB"/>
    <w:multiLevelType w:val="hybridMultilevel"/>
    <w:tmpl w:val="6E8EA588"/>
    <w:lvl w:ilvl="0" w:tplc="61A689E4">
      <w:start w:val="1"/>
      <w:numFmt w:val="bullet"/>
      <w:lvlText w:val="−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976539"/>
    <w:multiLevelType w:val="hybridMultilevel"/>
    <w:tmpl w:val="F618B9AC"/>
    <w:lvl w:ilvl="0" w:tplc="D520D2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87B4C"/>
    <w:multiLevelType w:val="hybridMultilevel"/>
    <w:tmpl w:val="C958D53C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04090003">
      <w:start w:val="1"/>
      <w:numFmt w:val="bullet"/>
      <w:lvlText w:val=""/>
      <w:lvlJc w:val="left"/>
      <w:pPr>
        <w:ind w:left="9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8" w15:restartNumberingAfterBreak="0">
    <w:nsid w:val="2C9B7D2F"/>
    <w:multiLevelType w:val="hybridMultilevel"/>
    <w:tmpl w:val="7728C97E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E3325BE"/>
    <w:multiLevelType w:val="hybridMultilevel"/>
    <w:tmpl w:val="4822ABDC"/>
    <w:lvl w:ilvl="0" w:tplc="98F09EE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1274A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4AC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99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0A0B0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8286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CA5C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94485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A603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774B2"/>
    <w:multiLevelType w:val="hybridMultilevel"/>
    <w:tmpl w:val="1F6CB950"/>
    <w:lvl w:ilvl="0" w:tplc="61A689E4">
      <w:start w:val="1"/>
      <w:numFmt w:val="bullet"/>
      <w:lvlText w:val="−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270204C"/>
    <w:multiLevelType w:val="hybridMultilevel"/>
    <w:tmpl w:val="6780F2E6"/>
    <w:lvl w:ilvl="0" w:tplc="215E59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4626460">
      <w:start w:val="60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47CCB4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DA263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836CC2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D001E9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F9043B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EC6E1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B2C4DB0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329378A6"/>
    <w:multiLevelType w:val="hybridMultilevel"/>
    <w:tmpl w:val="9C528778"/>
    <w:lvl w:ilvl="0" w:tplc="61A689E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4EC2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A689E4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4" w15:restartNumberingAfterBreak="0">
    <w:nsid w:val="3FE9076D"/>
    <w:multiLevelType w:val="hybridMultilevel"/>
    <w:tmpl w:val="1BC2354E"/>
    <w:lvl w:ilvl="0" w:tplc="61A689E4">
      <w:start w:val="1"/>
      <w:numFmt w:val="bullet"/>
      <w:lvlText w:val="−"/>
      <w:lvlJc w:val="left"/>
      <w:pPr>
        <w:ind w:left="84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5" w15:restartNumberingAfterBreak="0">
    <w:nsid w:val="43AF4CAA"/>
    <w:multiLevelType w:val="hybridMultilevel"/>
    <w:tmpl w:val="BCCEB4CA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ind w:left="1346" w:hanging="420"/>
      </w:pPr>
      <w:rPr>
        <w:rFonts w:hint="default"/>
      </w:rPr>
    </w:lvl>
    <w:lvl w:ilvl="3" w:tplc="D1DEEE24">
      <w:numFmt w:val="bullet"/>
      <w:lvlText w:val="–"/>
      <w:lvlJc w:val="left"/>
      <w:pPr>
        <w:ind w:left="1766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16" w15:restartNumberingAfterBreak="0">
    <w:nsid w:val="4A944B5F"/>
    <w:multiLevelType w:val="hybridMultilevel"/>
    <w:tmpl w:val="64D81B8A"/>
    <w:lvl w:ilvl="0" w:tplc="0338F8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4F4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8CAC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CFB8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D4FD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0AA7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B899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CC25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742F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659CD"/>
    <w:multiLevelType w:val="hybridMultilevel"/>
    <w:tmpl w:val="AFE0BFD4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ind w:left="1346" w:hanging="420"/>
      </w:pPr>
      <w:rPr>
        <w:rFonts w:hint="default"/>
      </w:rPr>
    </w:lvl>
    <w:lvl w:ilvl="3" w:tplc="D1DEEE24">
      <w:numFmt w:val="bullet"/>
      <w:lvlText w:val="–"/>
      <w:lvlJc w:val="left"/>
      <w:pPr>
        <w:ind w:left="1766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18" w15:restartNumberingAfterBreak="0">
    <w:nsid w:val="4DA732C7"/>
    <w:multiLevelType w:val="hybridMultilevel"/>
    <w:tmpl w:val="632AC728"/>
    <w:lvl w:ilvl="0" w:tplc="61A689E4">
      <w:start w:val="1"/>
      <w:numFmt w:val="bullet"/>
      <w:lvlText w:val="−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DE87AE8"/>
    <w:multiLevelType w:val="hybridMultilevel"/>
    <w:tmpl w:val="C42A02D6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20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5364E13"/>
    <w:multiLevelType w:val="hybridMultilevel"/>
    <w:tmpl w:val="E9760532"/>
    <w:lvl w:ilvl="0" w:tplc="8C40F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B6ABBB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78767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348FC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D4E0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D434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8065E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9C41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32A42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9DD3805"/>
    <w:multiLevelType w:val="hybridMultilevel"/>
    <w:tmpl w:val="C36CA872"/>
    <w:lvl w:ilvl="0" w:tplc="86EA38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F29A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FC73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0037AE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A4E4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72FA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1A2E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08BD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EE4AB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371FB"/>
    <w:multiLevelType w:val="hybridMultilevel"/>
    <w:tmpl w:val="E118E6F6"/>
    <w:lvl w:ilvl="0" w:tplc="3D4ABA56">
      <w:start w:val="1"/>
      <w:numFmt w:val="bullet"/>
      <w:lvlText w:val="•"/>
      <w:lvlJc w:val="left"/>
      <w:pPr>
        <w:ind w:left="506" w:hanging="420"/>
      </w:pPr>
    </w:lvl>
    <w:lvl w:ilvl="1" w:tplc="D1DEEE24">
      <w:numFmt w:val="bullet"/>
      <w:lvlText w:val="–"/>
      <w:lvlJc w:val="left"/>
      <w:pPr>
        <w:ind w:left="926" w:hanging="420"/>
      </w:pPr>
      <w:rPr>
        <w:rFonts w:ascii="Arial" w:hAnsi="Arial" w:hint="default"/>
      </w:rPr>
    </w:lvl>
    <w:lvl w:ilvl="2" w:tplc="3D4ABA56">
      <w:start w:val="1"/>
      <w:numFmt w:val="bullet"/>
      <w:lvlText w:val="•"/>
      <w:lvlJc w:val="left"/>
      <w:pPr>
        <w:ind w:left="1346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7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6" w:hanging="420"/>
      </w:pPr>
      <w:rPr>
        <w:rFonts w:ascii="Wingdings" w:hAnsi="Wingdings" w:hint="default"/>
      </w:rPr>
    </w:lvl>
  </w:abstractNum>
  <w:abstractNum w:abstractNumId="25" w15:restartNumberingAfterBreak="0">
    <w:nsid w:val="601C559F"/>
    <w:multiLevelType w:val="hybridMultilevel"/>
    <w:tmpl w:val="08448984"/>
    <w:lvl w:ilvl="0" w:tplc="F7AAB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49B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E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676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6058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843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C6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8D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49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C64431"/>
    <w:multiLevelType w:val="hybridMultilevel"/>
    <w:tmpl w:val="B9F21B5C"/>
    <w:lvl w:ilvl="0" w:tplc="1C0A26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C82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669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67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63A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6F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F44D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343B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2A0E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0453A3"/>
    <w:multiLevelType w:val="hybridMultilevel"/>
    <w:tmpl w:val="D4C4EF0E"/>
    <w:lvl w:ilvl="0" w:tplc="A63001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A032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236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638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4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6ECB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8CCB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A50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813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3"/>
  </w:num>
  <w:num w:numId="3">
    <w:abstractNumId w:val="3"/>
  </w:num>
  <w:num w:numId="4">
    <w:abstractNumId w:val="4"/>
  </w:num>
  <w:num w:numId="5">
    <w:abstractNumId w:val="29"/>
  </w:num>
  <w:num w:numId="6">
    <w:abstractNumId w:val="27"/>
  </w:num>
  <w:num w:numId="7">
    <w:abstractNumId w:val="12"/>
  </w:num>
  <w:num w:numId="8">
    <w:abstractNumId w:val="23"/>
  </w:num>
  <w:num w:numId="9">
    <w:abstractNumId w:val="22"/>
  </w:num>
  <w:num w:numId="10">
    <w:abstractNumId w:val="11"/>
  </w:num>
  <w:num w:numId="11">
    <w:abstractNumId w:val="25"/>
  </w:num>
  <w:num w:numId="12">
    <w:abstractNumId w:val="5"/>
  </w:num>
  <w:num w:numId="13">
    <w:abstractNumId w:val="9"/>
  </w:num>
  <w:num w:numId="14">
    <w:abstractNumId w:val="16"/>
  </w:num>
  <w:num w:numId="15">
    <w:abstractNumId w:val="7"/>
  </w:num>
  <w:num w:numId="16">
    <w:abstractNumId w:val="19"/>
  </w:num>
  <w:num w:numId="17">
    <w:abstractNumId w:val="24"/>
  </w:num>
  <w:num w:numId="18">
    <w:abstractNumId w:val="15"/>
  </w:num>
  <w:num w:numId="19">
    <w:abstractNumId w:val="17"/>
  </w:num>
  <w:num w:numId="20">
    <w:abstractNumId w:val="21"/>
  </w:num>
  <w:num w:numId="21">
    <w:abstractNumId w:val="6"/>
  </w:num>
  <w:num w:numId="22">
    <w:abstractNumId w:val="20"/>
  </w:num>
  <w:num w:numId="23">
    <w:abstractNumId w:val="1"/>
  </w:num>
  <w:num w:numId="24">
    <w:abstractNumId w:val="30"/>
  </w:num>
  <w:num w:numId="25">
    <w:abstractNumId w:val="28"/>
  </w:num>
  <w:num w:numId="26">
    <w:abstractNumId w:val="10"/>
  </w:num>
  <w:num w:numId="27">
    <w:abstractNumId w:val="8"/>
  </w:num>
  <w:num w:numId="28">
    <w:abstractNumId w:val="14"/>
  </w:num>
  <w:num w:numId="29">
    <w:abstractNumId w:val="0"/>
  </w:num>
  <w:num w:numId="30">
    <w:abstractNumId w:val="2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E2"/>
    <w:rsid w:val="00014672"/>
    <w:rsid w:val="00020054"/>
    <w:rsid w:val="00021BE5"/>
    <w:rsid w:val="0002379D"/>
    <w:rsid w:val="000247B5"/>
    <w:rsid w:val="00025B00"/>
    <w:rsid w:val="0005160E"/>
    <w:rsid w:val="000555F3"/>
    <w:rsid w:val="0007474B"/>
    <w:rsid w:val="00075278"/>
    <w:rsid w:val="00081F85"/>
    <w:rsid w:val="00084008"/>
    <w:rsid w:val="00084983"/>
    <w:rsid w:val="00086A1D"/>
    <w:rsid w:val="00087729"/>
    <w:rsid w:val="00096D5D"/>
    <w:rsid w:val="000C68F4"/>
    <w:rsid w:val="000D6018"/>
    <w:rsid w:val="0010022A"/>
    <w:rsid w:val="00106E4B"/>
    <w:rsid w:val="001111E4"/>
    <w:rsid w:val="00112E71"/>
    <w:rsid w:val="001325C9"/>
    <w:rsid w:val="00147E69"/>
    <w:rsid w:val="00150EA3"/>
    <w:rsid w:val="0016069E"/>
    <w:rsid w:val="00160EB6"/>
    <w:rsid w:val="0019339F"/>
    <w:rsid w:val="001E55E5"/>
    <w:rsid w:val="001F3E01"/>
    <w:rsid w:val="00203AFB"/>
    <w:rsid w:val="00221897"/>
    <w:rsid w:val="0025198E"/>
    <w:rsid w:val="00262474"/>
    <w:rsid w:val="0026337D"/>
    <w:rsid w:val="00264A2C"/>
    <w:rsid w:val="0026679C"/>
    <w:rsid w:val="0026772C"/>
    <w:rsid w:val="00267B68"/>
    <w:rsid w:val="0027571A"/>
    <w:rsid w:val="00294824"/>
    <w:rsid w:val="002B1838"/>
    <w:rsid w:val="002C7256"/>
    <w:rsid w:val="002D071D"/>
    <w:rsid w:val="002D28B2"/>
    <w:rsid w:val="002D7973"/>
    <w:rsid w:val="002E2F7D"/>
    <w:rsid w:val="00310E1D"/>
    <w:rsid w:val="00314027"/>
    <w:rsid w:val="00321A78"/>
    <w:rsid w:val="00347892"/>
    <w:rsid w:val="00347FAD"/>
    <w:rsid w:val="00365F87"/>
    <w:rsid w:val="00372488"/>
    <w:rsid w:val="00375269"/>
    <w:rsid w:val="0038762B"/>
    <w:rsid w:val="00390076"/>
    <w:rsid w:val="003C065B"/>
    <w:rsid w:val="003D025A"/>
    <w:rsid w:val="003D5793"/>
    <w:rsid w:val="003E2CFC"/>
    <w:rsid w:val="003E44B3"/>
    <w:rsid w:val="003F7093"/>
    <w:rsid w:val="00401A10"/>
    <w:rsid w:val="00416BDF"/>
    <w:rsid w:val="00421E5F"/>
    <w:rsid w:val="00427BFF"/>
    <w:rsid w:val="004305BD"/>
    <w:rsid w:val="0043491A"/>
    <w:rsid w:val="00441622"/>
    <w:rsid w:val="0044268A"/>
    <w:rsid w:val="00445D9C"/>
    <w:rsid w:val="004575B7"/>
    <w:rsid w:val="00461CF3"/>
    <w:rsid w:val="00474065"/>
    <w:rsid w:val="004B25B2"/>
    <w:rsid w:val="004C607D"/>
    <w:rsid w:val="004C739A"/>
    <w:rsid w:val="004D40B9"/>
    <w:rsid w:val="00500013"/>
    <w:rsid w:val="00505E81"/>
    <w:rsid w:val="005075BC"/>
    <w:rsid w:val="00507EC6"/>
    <w:rsid w:val="005315C2"/>
    <w:rsid w:val="00532969"/>
    <w:rsid w:val="00584558"/>
    <w:rsid w:val="00585EF1"/>
    <w:rsid w:val="005928B0"/>
    <w:rsid w:val="005A2CA3"/>
    <w:rsid w:val="005B44BE"/>
    <w:rsid w:val="005B7D9C"/>
    <w:rsid w:val="005C3579"/>
    <w:rsid w:val="005C6883"/>
    <w:rsid w:val="005D18EA"/>
    <w:rsid w:val="005D7F6A"/>
    <w:rsid w:val="005E000B"/>
    <w:rsid w:val="005E0EAC"/>
    <w:rsid w:val="005F5095"/>
    <w:rsid w:val="005F7811"/>
    <w:rsid w:val="00610214"/>
    <w:rsid w:val="00621C3A"/>
    <w:rsid w:val="0062457E"/>
    <w:rsid w:val="00624A59"/>
    <w:rsid w:val="00637807"/>
    <w:rsid w:val="00665EEC"/>
    <w:rsid w:val="006760A8"/>
    <w:rsid w:val="006955D6"/>
    <w:rsid w:val="006B7BB4"/>
    <w:rsid w:val="006C549C"/>
    <w:rsid w:val="006D7F27"/>
    <w:rsid w:val="00720640"/>
    <w:rsid w:val="00722B51"/>
    <w:rsid w:val="007310E3"/>
    <w:rsid w:val="0074218D"/>
    <w:rsid w:val="00743521"/>
    <w:rsid w:val="0077616D"/>
    <w:rsid w:val="0079042A"/>
    <w:rsid w:val="007A295F"/>
    <w:rsid w:val="007B61F6"/>
    <w:rsid w:val="007C0B17"/>
    <w:rsid w:val="007C3B7D"/>
    <w:rsid w:val="007D050C"/>
    <w:rsid w:val="00804C38"/>
    <w:rsid w:val="008266B0"/>
    <w:rsid w:val="00830FFB"/>
    <w:rsid w:val="00841AD6"/>
    <w:rsid w:val="0084369C"/>
    <w:rsid w:val="008664AE"/>
    <w:rsid w:val="00874ED9"/>
    <w:rsid w:val="00877C21"/>
    <w:rsid w:val="008858FE"/>
    <w:rsid w:val="00895995"/>
    <w:rsid w:val="008A4E9A"/>
    <w:rsid w:val="008A62EC"/>
    <w:rsid w:val="008A7439"/>
    <w:rsid w:val="008C70FA"/>
    <w:rsid w:val="00902ABF"/>
    <w:rsid w:val="00910720"/>
    <w:rsid w:val="009144D2"/>
    <w:rsid w:val="00915630"/>
    <w:rsid w:val="009163A1"/>
    <w:rsid w:val="009A0F65"/>
    <w:rsid w:val="009C60DE"/>
    <w:rsid w:val="009D3219"/>
    <w:rsid w:val="009E6659"/>
    <w:rsid w:val="00A00CC3"/>
    <w:rsid w:val="00A36D8B"/>
    <w:rsid w:val="00A4591D"/>
    <w:rsid w:val="00A70F98"/>
    <w:rsid w:val="00A80BB8"/>
    <w:rsid w:val="00A97ADD"/>
    <w:rsid w:val="00AA3E3D"/>
    <w:rsid w:val="00AA488B"/>
    <w:rsid w:val="00AA4EA8"/>
    <w:rsid w:val="00AA74AE"/>
    <w:rsid w:val="00AC3CD0"/>
    <w:rsid w:val="00AD3D50"/>
    <w:rsid w:val="00AD529C"/>
    <w:rsid w:val="00AE5F3B"/>
    <w:rsid w:val="00AF5146"/>
    <w:rsid w:val="00B053A4"/>
    <w:rsid w:val="00B22B83"/>
    <w:rsid w:val="00B322EF"/>
    <w:rsid w:val="00B6098E"/>
    <w:rsid w:val="00B7427B"/>
    <w:rsid w:val="00BB4A02"/>
    <w:rsid w:val="00BC4DE3"/>
    <w:rsid w:val="00BE38C9"/>
    <w:rsid w:val="00BE5260"/>
    <w:rsid w:val="00BF40E2"/>
    <w:rsid w:val="00BF5C5A"/>
    <w:rsid w:val="00C006CD"/>
    <w:rsid w:val="00C06889"/>
    <w:rsid w:val="00C31F3C"/>
    <w:rsid w:val="00C36B70"/>
    <w:rsid w:val="00C53270"/>
    <w:rsid w:val="00C55A77"/>
    <w:rsid w:val="00C6099A"/>
    <w:rsid w:val="00C6717A"/>
    <w:rsid w:val="00C955A7"/>
    <w:rsid w:val="00CB4AD4"/>
    <w:rsid w:val="00CB7FA0"/>
    <w:rsid w:val="00CC519B"/>
    <w:rsid w:val="00CD2D65"/>
    <w:rsid w:val="00CD7A7A"/>
    <w:rsid w:val="00CE60B8"/>
    <w:rsid w:val="00CF77FF"/>
    <w:rsid w:val="00D10BB7"/>
    <w:rsid w:val="00D2135D"/>
    <w:rsid w:val="00D2457B"/>
    <w:rsid w:val="00D2776C"/>
    <w:rsid w:val="00D35EAF"/>
    <w:rsid w:val="00D43F8B"/>
    <w:rsid w:val="00D6333E"/>
    <w:rsid w:val="00D7330D"/>
    <w:rsid w:val="00DA60B9"/>
    <w:rsid w:val="00DB63AA"/>
    <w:rsid w:val="00DC122D"/>
    <w:rsid w:val="00DC6B42"/>
    <w:rsid w:val="00DD494C"/>
    <w:rsid w:val="00E14775"/>
    <w:rsid w:val="00E375A2"/>
    <w:rsid w:val="00E455F4"/>
    <w:rsid w:val="00E63B77"/>
    <w:rsid w:val="00E6511D"/>
    <w:rsid w:val="00E758DF"/>
    <w:rsid w:val="00E762F6"/>
    <w:rsid w:val="00E77E8A"/>
    <w:rsid w:val="00E827E4"/>
    <w:rsid w:val="00E8582B"/>
    <w:rsid w:val="00EA065A"/>
    <w:rsid w:val="00EA5C58"/>
    <w:rsid w:val="00F07F52"/>
    <w:rsid w:val="00F121C1"/>
    <w:rsid w:val="00F126C1"/>
    <w:rsid w:val="00F308E1"/>
    <w:rsid w:val="00F32DCB"/>
    <w:rsid w:val="00F40152"/>
    <w:rsid w:val="00F42347"/>
    <w:rsid w:val="00F50497"/>
    <w:rsid w:val="00F63240"/>
    <w:rsid w:val="00F67D76"/>
    <w:rsid w:val="00F755D3"/>
    <w:rsid w:val="00F81D88"/>
    <w:rsid w:val="00F846AA"/>
    <w:rsid w:val="00F86921"/>
    <w:rsid w:val="00FA025C"/>
    <w:rsid w:val="00FA7696"/>
    <w:rsid w:val="00FB2FF0"/>
    <w:rsid w:val="00FB300C"/>
    <w:rsid w:val="00FB5F1C"/>
    <w:rsid w:val="00FC7BC7"/>
    <w:rsid w:val="00FD1063"/>
    <w:rsid w:val="00FE04DD"/>
    <w:rsid w:val="00FE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0031C"/>
  <w15:chartTrackingRefBased/>
  <w15:docId w15:val="{20C5119E-467B-43F3-8E80-9BD33D8A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1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D321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D321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0555F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0555F3"/>
  </w:style>
  <w:style w:type="character" w:customStyle="1" w:styleId="Char7">
    <w:name w:val="批注文字 Char"/>
    <w:basedOn w:val="a0"/>
    <w:link w:val="af1"/>
    <w:uiPriority w:val="99"/>
    <w:semiHidden/>
    <w:rsid w:val="000555F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0555F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0555F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0252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868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7914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5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1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67476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4997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6759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166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5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2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0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82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0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6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792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7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474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10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1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6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7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00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14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37528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2034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89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52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13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53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795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95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4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36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16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628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4594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2103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21757">
          <w:marLeft w:val="26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9556">
          <w:marLeft w:val="26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8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5980">
          <w:marLeft w:val="26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33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7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8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4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9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5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FE31D-36FE-4388-B45B-B65A4D97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3961</TotalTime>
  <Pages>3</Pages>
  <Words>815</Words>
  <Characters>4651</Characters>
  <Application>Microsoft Office Word</Application>
  <DocSecurity>0</DocSecurity>
  <Lines>38</Lines>
  <Paragraphs>10</Paragraphs>
  <ScaleCrop>false</ScaleCrop>
  <Company>Huawei Technologies Co.,Ltd.</Company>
  <LinksUpToDate>false</LinksUpToDate>
  <CharactersWithSpaces>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2020-08-06T15:58:00Z</dcterms:created>
  <dcterms:modified xsi:type="dcterms:W3CDTF">2020-10-23T14:02:00Z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(3)c2joUeQV3RfXmIP+MmYEWsIxZbrjkcyDBSgpsP7nNYu1Ye7rg4+H5Smmc8G+Y7iOxT6eWJhZ
amLU3igcXjjXPh35Gc0Xw0a89oAM/vNAZzQDfFR5v8qgU8sPAWbHqpBtLMrEYShIz5ZW8NlC
MglVnjpH8U1/0CnjI+NSidH4Dw4qswEGADVrC4NbXhQWHegxIO7XJYzS81qUSeg2A05ZcBb6
pYkl0lfF/Itztmqpc7</vt:lpwstr>
  </property>
  <property fmtid="{D5CDD505-2E9C-101B-9397-08002B2CF9AE}" pid="3" name="_2015_ms_pID_7253431">
    <vt:lpwstr>Pb1N+LgCgc8I9xIGbPQGpZWyLzLzcghOFF+n8rwU0FUhLFdOhaMylZ
nKOjoIwvXB2coLfos0AKhDcYargmX81FYZ9ssvvlknxCWGOp5y8WYTg4LI34QYfNPsURwR5j
crT3sIjpVdVgy7JhCnxWheEauJu/ZV0Po007Hv2ENVOT4XTZhUzoczz4DZLpLaLN1cOkUZv8
0AtFtptyKbtN/cIHxz8fWAOJDeudTB0sO7Db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M0ZMh88y8TgtKyVTDRyctZ8=</vt:lpwstr>
  </property>
</Properties>
</file>